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1A326" w14:textId="7926DC64" w:rsidR="002C7C94" w:rsidRDefault="002C7C94" w:rsidP="002C7C94">
      <w:pPr>
        <w:rPr>
          <w:iCs/>
          <w:szCs w:val="24"/>
        </w:rPr>
      </w:pPr>
      <w:r w:rsidRPr="3DD4A045">
        <w:t>FOR IMMEDIATE RELEASE</w:t>
      </w:r>
      <w:r>
        <w:rPr>
          <w:iCs/>
          <w:szCs w:val="24"/>
        </w:rPr>
        <w:tab/>
      </w:r>
    </w:p>
    <w:p w14:paraId="20CE891B" w14:textId="1DF0596D" w:rsidR="002C7C94" w:rsidRDefault="002C7C94" w:rsidP="002C7C94">
      <w:pPr>
        <w:jc w:val="right"/>
        <w:rPr>
          <w:szCs w:val="24"/>
        </w:rPr>
      </w:pPr>
      <w:r>
        <w:rPr>
          <w:szCs w:val="24"/>
        </w:rPr>
        <w:t>Contact:</w:t>
      </w:r>
    </w:p>
    <w:p w14:paraId="28A36737" w14:textId="2EDDB4A2" w:rsidR="002C7C94" w:rsidRPr="002C7C94" w:rsidRDefault="3DD4A045" w:rsidP="002C7C94">
      <w:pPr>
        <w:jc w:val="right"/>
        <w:rPr>
          <w:szCs w:val="24"/>
        </w:rPr>
      </w:pPr>
      <w:r>
        <w:t>Phone:</w:t>
      </w:r>
    </w:p>
    <w:p w14:paraId="00CB025A" w14:textId="78EB6549" w:rsidR="3DD4A045" w:rsidRDefault="3DD4A045" w:rsidP="3DD4A045">
      <w:pPr>
        <w:jc w:val="right"/>
      </w:pPr>
    </w:p>
    <w:p w14:paraId="2DCCA0A1" w14:textId="12D6A4FD" w:rsidR="002C7C94" w:rsidRDefault="00F730E1" w:rsidP="00F730E1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3C8F49A3" wp14:editId="0A55A63A">
            <wp:extent cx="1209675" cy="1532903"/>
            <wp:effectExtent l="0" t="0" r="0" b="0"/>
            <wp:docPr id="1" name="Picture 1" descr="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656" cy="15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9D87E" w14:textId="6B230DFF" w:rsidR="00F730E1" w:rsidRDefault="00F730E1" w:rsidP="002C7C94">
      <w:pPr>
        <w:rPr>
          <w:szCs w:val="24"/>
        </w:rPr>
      </w:pPr>
    </w:p>
    <w:p w14:paraId="3ADCE0A1" w14:textId="77777777" w:rsidR="00F730E1" w:rsidRPr="008F0D81" w:rsidRDefault="00F730E1" w:rsidP="002C7C94">
      <w:pPr>
        <w:rPr>
          <w:snapToGrid w:val="0"/>
          <w:color w:val="000000"/>
          <w:szCs w:val="24"/>
        </w:rPr>
      </w:pPr>
    </w:p>
    <w:p w14:paraId="583D5CB2" w14:textId="7AD9043E" w:rsidR="005A4C9E" w:rsidRDefault="00E408D2" w:rsidP="002C7C94">
      <w:pPr>
        <w:pStyle w:val="Heading1"/>
      </w:pPr>
      <w:r>
        <w:t>NABORS, GIBLIN &amp; NICKERSON, P.A.</w:t>
      </w:r>
      <w:r w:rsidR="70C50CEF" w:rsidRPr="00BE2A1D">
        <w:t xml:space="preserve"> NAMED A </w:t>
      </w:r>
      <w:r w:rsidR="005A4C9E" w:rsidRPr="00BE2A1D">
        <w:t>20</w:t>
      </w:r>
      <w:r w:rsidR="00114C0D">
        <w:t>20</w:t>
      </w:r>
      <w:r w:rsidR="005A4C9E" w:rsidRPr="00BE2A1D">
        <w:t xml:space="preserve"> </w:t>
      </w:r>
      <w:r w:rsidR="70C50CEF" w:rsidRPr="00BE2A1D">
        <w:t xml:space="preserve">TOP CONTRIBUTOR </w:t>
      </w:r>
    </w:p>
    <w:p w14:paraId="1E3B0054" w14:textId="120FF440" w:rsidR="002C7C94" w:rsidRPr="00BE2A1D" w:rsidRDefault="70C50CEF" w:rsidP="002C7C94">
      <w:pPr>
        <w:pStyle w:val="Heading1"/>
      </w:pPr>
      <w:r w:rsidRPr="00BE2A1D">
        <w:t xml:space="preserve">IN </w:t>
      </w:r>
      <w:r w:rsidR="00E408D2">
        <w:t>SECOND</w:t>
      </w:r>
      <w:r w:rsidRPr="00BE2A1D">
        <w:t xml:space="preserve"> CIRCUIT </w:t>
      </w:r>
    </w:p>
    <w:p w14:paraId="58886710" w14:textId="77777777" w:rsidR="002C7C94" w:rsidRPr="00BE2A1D" w:rsidRDefault="002C7C94" w:rsidP="002C7C94">
      <w:pPr>
        <w:jc w:val="center"/>
        <w:rPr>
          <w:b/>
          <w:snapToGrid w:val="0"/>
          <w:color w:val="000000"/>
          <w:szCs w:val="24"/>
        </w:rPr>
      </w:pPr>
    </w:p>
    <w:p w14:paraId="44B1A8E1" w14:textId="4EAD878C" w:rsidR="002C7C94" w:rsidRPr="002C7C94" w:rsidRDefault="00BE2A1D" w:rsidP="001653D5">
      <w:pPr>
        <w:pStyle w:val="NoSpacing"/>
        <w:spacing w:line="360" w:lineRule="auto"/>
        <w:rPr>
          <w:rFonts w:eastAsia="Arial"/>
        </w:rPr>
      </w:pPr>
      <w:r>
        <w:rPr>
          <w:b/>
        </w:rPr>
        <w:t>(</w:t>
      </w:r>
      <w:r w:rsidRPr="00BE2A1D">
        <w:rPr>
          <w:b/>
        </w:rPr>
        <w:t xml:space="preserve">Orlando, Fla.) – </w:t>
      </w:r>
      <w:r w:rsidR="00E408D2">
        <w:rPr>
          <w:b/>
        </w:rPr>
        <w:t>MARCH 11</w:t>
      </w:r>
      <w:r w:rsidRPr="00BE2A1D">
        <w:rPr>
          <w:b/>
        </w:rPr>
        <w:t>, 20</w:t>
      </w:r>
      <w:r w:rsidR="00887421">
        <w:rPr>
          <w:b/>
        </w:rPr>
        <w:t>2</w:t>
      </w:r>
      <w:r w:rsidR="00114C0D">
        <w:rPr>
          <w:b/>
        </w:rPr>
        <w:t>1</w:t>
      </w:r>
      <w:r w:rsidRPr="00BE2A1D">
        <w:rPr>
          <w:b/>
        </w:rPr>
        <w:t xml:space="preserve"> –</w:t>
      </w:r>
      <w:r w:rsidRPr="00BE2A1D">
        <w:t xml:space="preserve"> </w:t>
      </w:r>
      <w:bookmarkStart w:id="0" w:name="_Hlk536798594"/>
      <w:r w:rsidRPr="00BE2A1D">
        <w:t>Attorneys' Title Fund Services, LLC (The Fund)</w:t>
      </w:r>
      <w:r w:rsidR="005A4C9E">
        <w:t>,</w:t>
      </w:r>
      <w:bookmarkEnd w:id="0"/>
      <w:r w:rsidR="005A4C9E">
        <w:t xml:space="preserve"> </w:t>
      </w:r>
      <w:r>
        <w:t xml:space="preserve">today </w:t>
      </w:r>
      <w:r w:rsidR="3DD4A045">
        <w:t>announce</w:t>
      </w:r>
      <w:r>
        <w:t>s</w:t>
      </w:r>
      <w:r w:rsidR="3DD4A045" w:rsidRPr="3DD4A045">
        <w:rPr>
          <w:b/>
          <w:bCs/>
        </w:rPr>
        <w:t xml:space="preserve"> </w:t>
      </w:r>
      <w:r w:rsidR="00E408D2">
        <w:rPr>
          <w:b/>
          <w:bCs/>
        </w:rPr>
        <w:t>Nabors, Giblin &amp; Nickerson, P.A.</w:t>
      </w:r>
      <w:r w:rsidR="3DD4A045">
        <w:t xml:space="preserve"> named a Top </w:t>
      </w:r>
      <w:r w:rsidR="3DD4A045" w:rsidRPr="3DD4A045">
        <w:t xml:space="preserve">Contributor of the </w:t>
      </w:r>
      <w:r w:rsidR="00E408D2">
        <w:t xml:space="preserve">Second </w:t>
      </w:r>
      <w:r w:rsidR="3DD4A045" w:rsidRPr="3DD4A045">
        <w:t xml:space="preserve">Circuit in the state of Florida for </w:t>
      </w:r>
      <w:r>
        <w:t>20</w:t>
      </w:r>
      <w:r w:rsidR="00114C0D">
        <w:t>20</w:t>
      </w:r>
      <w:r w:rsidR="3DD4A045" w:rsidRPr="3DD4A045">
        <w:t xml:space="preserve">. The Fund’s Circuit Top Contributor award recognizes the top three Fund Member firms in each of </w:t>
      </w:r>
      <w:r>
        <w:t xml:space="preserve">Florida’s </w:t>
      </w:r>
      <w:r w:rsidR="3DD4A045" w:rsidRPr="3DD4A045">
        <w:t xml:space="preserve">20 judicial circuits </w:t>
      </w:r>
      <w:r>
        <w:t>for total</w:t>
      </w:r>
      <w:r w:rsidR="3DD4A045" w:rsidRPr="3DD4A045">
        <w:t xml:space="preserve"> policy remittance.</w:t>
      </w:r>
    </w:p>
    <w:p w14:paraId="29C4D321" w14:textId="77777777" w:rsidR="000F0FE5" w:rsidRPr="000F0FE5" w:rsidRDefault="000F0FE5" w:rsidP="001653D5">
      <w:pPr>
        <w:pStyle w:val="NoSpacing"/>
        <w:spacing w:line="360" w:lineRule="auto"/>
      </w:pPr>
      <w:bookmarkStart w:id="1" w:name="_Hlk536798682"/>
    </w:p>
    <w:p w14:paraId="57E4543C" w14:textId="6912F04E" w:rsidR="002C7C94" w:rsidRPr="008F0D81" w:rsidRDefault="002C7C94" w:rsidP="001653D5">
      <w:pPr>
        <w:pStyle w:val="NoSpacing"/>
        <w:spacing w:line="360" w:lineRule="auto"/>
        <w:rPr>
          <w:szCs w:val="24"/>
        </w:rPr>
      </w:pPr>
      <w:r w:rsidRPr="008F0D81">
        <w:rPr>
          <w:szCs w:val="24"/>
        </w:rPr>
        <w:t>“</w:t>
      </w:r>
      <w:bookmarkStart w:id="2" w:name="_Hlk536798092"/>
      <w:r w:rsidR="00BE2A1D">
        <w:rPr>
          <w:szCs w:val="24"/>
        </w:rPr>
        <w:t>We are proud to recognize</w:t>
      </w:r>
      <w:r w:rsidRPr="008F0D81">
        <w:rPr>
          <w:szCs w:val="24"/>
        </w:rPr>
        <w:t xml:space="preserve"> </w:t>
      </w:r>
      <w:r w:rsidR="00E408D2">
        <w:rPr>
          <w:szCs w:val="24"/>
        </w:rPr>
        <w:t>Nabors, Giblin &amp; Nickerson</w:t>
      </w:r>
      <w:r w:rsidR="00BE2A1D">
        <w:rPr>
          <w:szCs w:val="24"/>
        </w:rPr>
        <w:t xml:space="preserve">’s </w:t>
      </w:r>
      <w:r w:rsidRPr="008F0D81">
        <w:rPr>
          <w:szCs w:val="24"/>
        </w:rPr>
        <w:t>achievement</w:t>
      </w:r>
      <w:r w:rsidRPr="00CD6534">
        <w:rPr>
          <w:szCs w:val="24"/>
        </w:rPr>
        <w:t xml:space="preserve"> </w:t>
      </w:r>
      <w:r w:rsidR="00BE2A1D">
        <w:rPr>
          <w:szCs w:val="24"/>
        </w:rPr>
        <w:t>and thank them for their</w:t>
      </w:r>
      <w:r w:rsidRPr="008F0D81">
        <w:rPr>
          <w:szCs w:val="24"/>
        </w:rPr>
        <w:t xml:space="preserve"> loyalty to The Fund and </w:t>
      </w:r>
      <w:r w:rsidR="00BE2A1D" w:rsidRPr="008F0D81">
        <w:rPr>
          <w:szCs w:val="24"/>
        </w:rPr>
        <w:t>dedication</w:t>
      </w:r>
      <w:r w:rsidR="00BE2A1D">
        <w:rPr>
          <w:szCs w:val="24"/>
        </w:rPr>
        <w:t xml:space="preserve"> to</w:t>
      </w:r>
      <w:r w:rsidR="00BE2A1D" w:rsidRPr="008F0D81">
        <w:rPr>
          <w:szCs w:val="24"/>
        </w:rPr>
        <w:t xml:space="preserve"> </w:t>
      </w:r>
      <w:r w:rsidRPr="008F0D81">
        <w:rPr>
          <w:szCs w:val="24"/>
        </w:rPr>
        <w:t xml:space="preserve">their clients,” </w:t>
      </w:r>
      <w:bookmarkEnd w:id="1"/>
      <w:bookmarkEnd w:id="2"/>
      <w:r w:rsidRPr="008F0D81">
        <w:rPr>
          <w:szCs w:val="24"/>
        </w:rPr>
        <w:t xml:space="preserve">said Jimmy R. Jones, </w:t>
      </w:r>
      <w:r w:rsidRPr="008F0D81">
        <w:rPr>
          <w:noProof/>
          <w:szCs w:val="24"/>
        </w:rPr>
        <w:t>The Fund’s CEO.</w:t>
      </w:r>
      <w:r w:rsidRPr="008F0D81">
        <w:rPr>
          <w:szCs w:val="24"/>
        </w:rPr>
        <w:t xml:space="preserve">  </w:t>
      </w:r>
    </w:p>
    <w:p w14:paraId="1D74E7EC" w14:textId="77777777" w:rsidR="000F0FE5" w:rsidRPr="000F0FE5" w:rsidRDefault="000F0FE5" w:rsidP="001653D5">
      <w:pPr>
        <w:pStyle w:val="NoSpacing"/>
        <w:spacing w:line="360" w:lineRule="auto"/>
      </w:pPr>
    </w:p>
    <w:p w14:paraId="6D8064ED" w14:textId="7EE4754C" w:rsidR="002C7C94" w:rsidRPr="008F0D81" w:rsidRDefault="002C7C94" w:rsidP="001653D5">
      <w:pPr>
        <w:pStyle w:val="NoSpacing"/>
        <w:spacing w:line="360" w:lineRule="auto"/>
        <w:rPr>
          <w:szCs w:val="24"/>
        </w:rPr>
      </w:pPr>
      <w:r w:rsidRPr="008F0D81">
        <w:rPr>
          <w:szCs w:val="24"/>
        </w:rPr>
        <w:t xml:space="preserve">Each year, The Fund recognizes the top performing Member firms in Florida. </w:t>
      </w:r>
      <w:r w:rsidR="00BE2A1D">
        <w:rPr>
          <w:szCs w:val="24"/>
        </w:rPr>
        <w:t>The</w:t>
      </w:r>
      <w:r w:rsidRPr="008F0D81">
        <w:rPr>
          <w:szCs w:val="24"/>
        </w:rPr>
        <w:t xml:space="preserve"> support and loyalty of t</w:t>
      </w:r>
      <w:r w:rsidR="00BE2A1D">
        <w:rPr>
          <w:szCs w:val="24"/>
        </w:rPr>
        <w:t>op performing</w:t>
      </w:r>
      <w:r w:rsidRPr="008F0D81">
        <w:rPr>
          <w:szCs w:val="24"/>
        </w:rPr>
        <w:t xml:space="preserve"> Members allows The Fund to continue to serve 2,500 Member firms </w:t>
      </w:r>
      <w:r w:rsidR="00BE2A1D">
        <w:rPr>
          <w:szCs w:val="24"/>
        </w:rPr>
        <w:t>throughout</w:t>
      </w:r>
      <w:r w:rsidR="004B0B30">
        <w:rPr>
          <w:szCs w:val="24"/>
        </w:rPr>
        <w:t xml:space="preserve"> Florida</w:t>
      </w:r>
      <w:r w:rsidRPr="008F0D81">
        <w:rPr>
          <w:szCs w:val="24"/>
        </w:rPr>
        <w:t>.</w:t>
      </w:r>
    </w:p>
    <w:p w14:paraId="71ACBDD9" w14:textId="77777777" w:rsidR="002C7C94" w:rsidRPr="008F0D81" w:rsidRDefault="002C7C94" w:rsidP="002C7C94">
      <w:pPr>
        <w:spacing w:line="360" w:lineRule="auto"/>
        <w:jc w:val="both"/>
        <w:rPr>
          <w:szCs w:val="24"/>
        </w:rPr>
      </w:pPr>
      <w:r w:rsidRPr="008F0D81">
        <w:rPr>
          <w:szCs w:val="24"/>
        </w:rPr>
        <w:tab/>
      </w:r>
    </w:p>
    <w:p w14:paraId="2BEF129A" w14:textId="77777777" w:rsidR="00BE2A1D" w:rsidRPr="00BE2A1D" w:rsidRDefault="00BE2A1D" w:rsidP="00BE2A1D">
      <w:pPr>
        <w:keepNext/>
        <w:outlineLvl w:val="0"/>
        <w:rPr>
          <w:bCs/>
          <w:i/>
          <w:snapToGrid w:val="0"/>
          <w:color w:val="000000"/>
        </w:rPr>
      </w:pPr>
      <w:bookmarkStart w:id="3" w:name="_Hlk536798490"/>
      <w:r w:rsidRPr="00BE2A1D">
        <w:rPr>
          <w:b/>
          <w:i/>
          <w:snapToGrid w:val="0"/>
          <w:color w:val="000000"/>
        </w:rPr>
        <w:t>About The Fund:</w:t>
      </w:r>
    </w:p>
    <w:p w14:paraId="72F2BF6B" w14:textId="77777777" w:rsidR="005531FA" w:rsidRDefault="005531FA" w:rsidP="00BE2A1D">
      <w:pPr>
        <w:autoSpaceDE w:val="0"/>
        <w:autoSpaceDN w:val="0"/>
        <w:adjustRightInd w:val="0"/>
        <w:rPr>
          <w:i/>
          <w:snapToGrid w:val="0"/>
          <w:color w:val="000000"/>
        </w:rPr>
      </w:pPr>
      <w:bookmarkStart w:id="4" w:name="_Hlk536796279"/>
    </w:p>
    <w:p w14:paraId="3D4D7E0F" w14:textId="6EA53A74" w:rsidR="005531FA" w:rsidRDefault="00D73781" w:rsidP="00BE2A1D">
      <w:pPr>
        <w:autoSpaceDE w:val="0"/>
        <w:autoSpaceDN w:val="0"/>
        <w:adjustRightInd w:val="0"/>
        <w:rPr>
          <w:i/>
          <w:snapToGrid w:val="0"/>
          <w:color w:val="000000"/>
        </w:rPr>
      </w:pPr>
      <w:r w:rsidRPr="00136FF1">
        <w:rPr>
          <w:i/>
          <w:snapToGrid w:val="0"/>
          <w:color w:val="000000"/>
        </w:rPr>
        <w:t xml:space="preserve">Backed by the strength of Old Republic Title, </w:t>
      </w:r>
      <w:r w:rsidR="005531FA" w:rsidRPr="00BE2A1D">
        <w:rPr>
          <w:i/>
          <w:snapToGrid w:val="0"/>
          <w:color w:val="000000"/>
        </w:rPr>
        <w:t>Attorneys' Title Fund Services, LLC (The Fund</w:t>
      </w:r>
      <w:r w:rsidR="005531FA">
        <w:rPr>
          <w:i/>
          <w:snapToGrid w:val="0"/>
          <w:color w:val="000000"/>
        </w:rPr>
        <w:t>)</w:t>
      </w:r>
      <w:r w:rsidR="005531FA" w:rsidRPr="005531FA">
        <w:rPr>
          <w:b/>
          <w:bCs/>
          <w:i/>
          <w:snapToGrid w:val="0"/>
          <w:color w:val="000000"/>
        </w:rPr>
        <w:t xml:space="preserve"> </w:t>
      </w:r>
      <w:r w:rsidR="00136FF1">
        <w:rPr>
          <w:i/>
          <w:snapToGrid w:val="0"/>
          <w:color w:val="000000"/>
        </w:rPr>
        <w:t>promotes and facilitates the real estate practices of our Members in their protection of the public. M</w:t>
      </w:r>
      <w:r w:rsidR="00136FF1" w:rsidRPr="005531FA">
        <w:rPr>
          <w:i/>
          <w:snapToGrid w:val="0"/>
          <w:color w:val="000000"/>
        </w:rPr>
        <w:t>ore than 4,000 Members</w:t>
      </w:r>
      <w:r w:rsidR="00136FF1">
        <w:rPr>
          <w:i/>
          <w:snapToGrid w:val="0"/>
          <w:color w:val="000000"/>
        </w:rPr>
        <w:t xml:space="preserve"> throughout Florida</w:t>
      </w:r>
      <w:r w:rsidR="00136FF1" w:rsidRPr="005531FA">
        <w:rPr>
          <w:i/>
          <w:snapToGrid w:val="0"/>
          <w:color w:val="000000"/>
        </w:rPr>
        <w:t> rely on us </w:t>
      </w:r>
      <w:r w:rsidR="00136FF1">
        <w:rPr>
          <w:i/>
          <w:snapToGrid w:val="0"/>
          <w:color w:val="000000"/>
        </w:rPr>
        <w:t xml:space="preserve">for </w:t>
      </w:r>
      <w:r w:rsidR="003E5F22">
        <w:rPr>
          <w:i/>
          <w:snapToGrid w:val="0"/>
          <w:color w:val="000000"/>
        </w:rPr>
        <w:t xml:space="preserve">next-level </w:t>
      </w:r>
      <w:r w:rsidR="00136FF1" w:rsidRPr="00D73781">
        <w:rPr>
          <w:i/>
          <w:snapToGrid w:val="0"/>
          <w:color w:val="000000"/>
        </w:rPr>
        <w:t xml:space="preserve">residential and commercial title services, best-in-class </w:t>
      </w:r>
      <w:r w:rsidR="00136FF1">
        <w:rPr>
          <w:i/>
          <w:snapToGrid w:val="0"/>
          <w:color w:val="000000"/>
        </w:rPr>
        <w:t xml:space="preserve">legal </w:t>
      </w:r>
      <w:r w:rsidR="00136FF1" w:rsidRPr="00D73781">
        <w:rPr>
          <w:i/>
          <w:snapToGrid w:val="0"/>
          <w:color w:val="000000"/>
        </w:rPr>
        <w:t>education, and</w:t>
      </w:r>
      <w:r w:rsidR="00136FF1">
        <w:rPr>
          <w:i/>
          <w:snapToGrid w:val="0"/>
          <w:color w:val="000000"/>
        </w:rPr>
        <w:t xml:space="preserve"> practice-enhancing resources.</w:t>
      </w:r>
      <w:r w:rsidR="005531FA" w:rsidRPr="005531FA">
        <w:rPr>
          <w:i/>
          <w:snapToGrid w:val="0"/>
          <w:color w:val="000000"/>
        </w:rPr>
        <w:t>  </w:t>
      </w:r>
    </w:p>
    <w:bookmarkEnd w:id="4"/>
    <w:p w14:paraId="0DA97863" w14:textId="6C0B6F8D" w:rsidR="00BE2A1D" w:rsidRPr="00BE2A1D" w:rsidRDefault="00BE2A1D" w:rsidP="00BE2A1D">
      <w:pPr>
        <w:autoSpaceDE w:val="0"/>
        <w:autoSpaceDN w:val="0"/>
        <w:adjustRightInd w:val="0"/>
        <w:rPr>
          <w:rFonts w:cs="Arial"/>
          <w:color w:val="333300"/>
        </w:rPr>
      </w:pPr>
      <w:r w:rsidRPr="00BE2A1D">
        <w:rPr>
          <w:i/>
          <w:snapToGrid w:val="0"/>
          <w:color w:val="000000"/>
        </w:rPr>
        <w:t>For more information, visit</w:t>
      </w:r>
      <w:r w:rsidRPr="00BE2A1D">
        <w:rPr>
          <w:bCs/>
          <w:i/>
        </w:rPr>
        <w:t xml:space="preserve"> </w:t>
      </w:r>
      <w:hyperlink r:id="rId10" w:history="1">
        <w:r w:rsidRPr="00BE2A1D">
          <w:rPr>
            <w:bCs/>
            <w:i/>
            <w:color w:val="0000FF"/>
            <w:u w:val="single"/>
          </w:rPr>
          <w:t>http://www.thefund.com</w:t>
        </w:r>
      </w:hyperlink>
      <w:r w:rsidRPr="00BE2A1D">
        <w:rPr>
          <w:bCs/>
          <w:i/>
        </w:rPr>
        <w:t xml:space="preserve">.  </w:t>
      </w:r>
    </w:p>
    <w:p w14:paraId="397C2AA8" w14:textId="77777777" w:rsidR="00BE2A1D" w:rsidRPr="00BE2A1D" w:rsidRDefault="00BE2A1D" w:rsidP="00BE2A1D">
      <w:pPr>
        <w:spacing w:line="360" w:lineRule="auto"/>
        <w:ind w:firstLine="720"/>
        <w:jc w:val="both"/>
      </w:pPr>
      <w:r w:rsidRPr="00BE2A1D">
        <w:t xml:space="preserve"> </w:t>
      </w:r>
    </w:p>
    <w:bookmarkEnd w:id="3"/>
    <w:p w14:paraId="32ADF19A" w14:textId="72A52852" w:rsidR="002C7C94" w:rsidRPr="00E408D2" w:rsidRDefault="002C7C94" w:rsidP="002C7C94">
      <w:pPr>
        <w:pStyle w:val="BodyTextIndent"/>
        <w:ind w:firstLine="0"/>
        <w:rPr>
          <w:b/>
          <w:bCs/>
          <w:i/>
          <w:iCs/>
          <w:szCs w:val="24"/>
        </w:rPr>
      </w:pPr>
      <w:r w:rsidRPr="00E408D2">
        <w:rPr>
          <w:b/>
          <w:bCs/>
          <w:i/>
          <w:iCs/>
          <w:szCs w:val="24"/>
        </w:rPr>
        <w:t xml:space="preserve">About </w:t>
      </w:r>
      <w:r w:rsidR="00E408D2" w:rsidRPr="00E408D2">
        <w:rPr>
          <w:b/>
          <w:bCs/>
          <w:i/>
          <w:iCs/>
          <w:szCs w:val="24"/>
        </w:rPr>
        <w:t>Nabors, Giblin &amp; Nickerson</w:t>
      </w:r>
      <w:r w:rsidRPr="00E408D2">
        <w:rPr>
          <w:b/>
          <w:bCs/>
          <w:i/>
          <w:iCs/>
          <w:szCs w:val="24"/>
        </w:rPr>
        <w:t>:</w:t>
      </w:r>
    </w:p>
    <w:p w14:paraId="7C62040B" w14:textId="428F8B3A" w:rsidR="002A4581" w:rsidRPr="00E408D2" w:rsidRDefault="00E408D2" w:rsidP="002C7C94">
      <w:pPr>
        <w:pStyle w:val="BodyTextIndent"/>
        <w:ind w:firstLine="0"/>
        <w:rPr>
          <w:i/>
          <w:iCs/>
          <w:szCs w:val="24"/>
        </w:rPr>
      </w:pPr>
      <w:r w:rsidRPr="00E408D2">
        <w:rPr>
          <w:i/>
          <w:iCs/>
          <w:szCs w:val="24"/>
        </w:rPr>
        <w:t xml:space="preserve">Nabors, Giblin &amp; Nickerson, P.A. was established in 1984 so that its principals could concentrate their practice upon the representation of local government on a statewide basis. </w:t>
      </w:r>
      <w:r w:rsidRPr="00E408D2">
        <w:rPr>
          <w:i/>
          <w:iCs/>
          <w:szCs w:val="24"/>
        </w:rPr>
        <w:lastRenderedPageBreak/>
        <w:t>Consistent with this concept the firm has developed into a full-service law firm for local governments, which includes a real estate practice. NG&amp;N has blended a specialized Wall Street public finance practice with hands-on local government experience to create a law firm with a unique focus.</w:t>
      </w:r>
    </w:p>
    <w:p w14:paraId="01FC4A40" w14:textId="79EEC7EB" w:rsidR="009768A1" w:rsidRDefault="34A17DBE" w:rsidP="002C7C94">
      <w:pPr>
        <w:jc w:val="center"/>
      </w:pPr>
      <w:r>
        <w:t>###</w:t>
      </w:r>
    </w:p>
    <w:sectPr w:rsidR="009768A1" w:rsidSect="000B4B9F">
      <w:headerReference w:type="default" r:id="rId11"/>
      <w:footerReference w:type="first" r:id="rId12"/>
      <w:pgSz w:w="12240" w:h="15840" w:code="1"/>
      <w:pgMar w:top="1296" w:right="1440" w:bottom="864" w:left="1440" w:header="720" w:footer="4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0CA11" w14:textId="77777777" w:rsidR="001840EB" w:rsidRDefault="001840EB" w:rsidP="002C7C94">
      <w:r>
        <w:separator/>
      </w:r>
    </w:p>
  </w:endnote>
  <w:endnote w:type="continuationSeparator" w:id="0">
    <w:p w14:paraId="4F021B67" w14:textId="77777777" w:rsidR="001840EB" w:rsidRDefault="001840EB" w:rsidP="002C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C3B6A" w14:textId="341B10C0" w:rsidR="00CD6534" w:rsidRPr="00CD6534" w:rsidRDefault="00CD6534" w:rsidP="00CD6534">
    <w:pPr>
      <w:pStyle w:val="Footer"/>
    </w:pPr>
    <w:r w:rsidRPr="00CD6534">
      <w:t xml:space="preserve">--more--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3A3AE" w14:textId="77777777" w:rsidR="001840EB" w:rsidRDefault="001840EB" w:rsidP="002C7C94">
      <w:r>
        <w:separator/>
      </w:r>
    </w:p>
  </w:footnote>
  <w:footnote w:type="continuationSeparator" w:id="0">
    <w:p w14:paraId="44DF6130" w14:textId="77777777" w:rsidR="001840EB" w:rsidRDefault="001840EB" w:rsidP="002C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00015" w14:textId="77777777" w:rsidR="00452262" w:rsidRDefault="00AE13D8" w:rsidP="2A3DF666">
    <w:pPr>
      <w:pStyle w:val="Header"/>
      <w:rPr>
        <w:sz w:val="20"/>
      </w:rPr>
    </w:pPr>
    <w:r w:rsidRPr="2A3DF666">
      <w:rPr>
        <w:sz w:val="20"/>
      </w:rPr>
      <w:t>Attorney’s Title Insurance Fund – Page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94"/>
    <w:rsid w:val="000F0FE5"/>
    <w:rsid w:val="00104D67"/>
    <w:rsid w:val="00114C0D"/>
    <w:rsid w:val="00136FF1"/>
    <w:rsid w:val="001653D5"/>
    <w:rsid w:val="001840EB"/>
    <w:rsid w:val="002A4581"/>
    <w:rsid w:val="002C7C94"/>
    <w:rsid w:val="003E5F22"/>
    <w:rsid w:val="004B0B30"/>
    <w:rsid w:val="0050766B"/>
    <w:rsid w:val="00514412"/>
    <w:rsid w:val="00515764"/>
    <w:rsid w:val="005531FA"/>
    <w:rsid w:val="005A4C9E"/>
    <w:rsid w:val="0066797A"/>
    <w:rsid w:val="006A02A4"/>
    <w:rsid w:val="00771027"/>
    <w:rsid w:val="00887421"/>
    <w:rsid w:val="00897BEF"/>
    <w:rsid w:val="00926131"/>
    <w:rsid w:val="009850F6"/>
    <w:rsid w:val="00A20471"/>
    <w:rsid w:val="00AE13D8"/>
    <w:rsid w:val="00B66F67"/>
    <w:rsid w:val="00B87463"/>
    <w:rsid w:val="00BE2A1D"/>
    <w:rsid w:val="00C24B63"/>
    <w:rsid w:val="00C93012"/>
    <w:rsid w:val="00CD6534"/>
    <w:rsid w:val="00D3734C"/>
    <w:rsid w:val="00D73781"/>
    <w:rsid w:val="00E408D2"/>
    <w:rsid w:val="00ED5622"/>
    <w:rsid w:val="00F009BB"/>
    <w:rsid w:val="00F730E1"/>
    <w:rsid w:val="00F749C9"/>
    <w:rsid w:val="041C9016"/>
    <w:rsid w:val="18E6DF86"/>
    <w:rsid w:val="1B1286F4"/>
    <w:rsid w:val="34A17DBE"/>
    <w:rsid w:val="3DD4A045"/>
    <w:rsid w:val="70C5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9016"/>
  <w15:chartTrackingRefBased/>
  <w15:docId w15:val="{17780080-6D31-450E-AD71-573C0290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C7C94"/>
    <w:pPr>
      <w:keepNext/>
      <w:jc w:val="center"/>
      <w:outlineLvl w:val="0"/>
    </w:pPr>
    <w:rPr>
      <w:b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C94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2C7C94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2C7C94"/>
    <w:rPr>
      <w:rFonts w:ascii="Times New Roman" w:eastAsia="Times New Roman" w:hAnsi="Times New Roman" w:cs="Times New Roman"/>
      <w:sz w:val="24"/>
      <w:szCs w:val="20"/>
    </w:rPr>
  </w:style>
  <w:style w:type="paragraph" w:customStyle="1" w:styleId="Contact">
    <w:name w:val="Contact"/>
    <w:basedOn w:val="Normal"/>
    <w:rsid w:val="002C7C94"/>
    <w:pPr>
      <w:spacing w:line="240" w:lineRule="exact"/>
      <w:jc w:val="right"/>
    </w:pPr>
  </w:style>
  <w:style w:type="character" w:styleId="Hyperlink">
    <w:name w:val="Hyperlink"/>
    <w:rsid w:val="002C7C94"/>
    <w:rPr>
      <w:color w:val="0000FF"/>
      <w:u w:val="single"/>
    </w:rPr>
  </w:style>
  <w:style w:type="paragraph" w:styleId="Header">
    <w:name w:val="header"/>
    <w:basedOn w:val="Normal"/>
    <w:link w:val="HeaderChar"/>
    <w:rsid w:val="002C7C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7C9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autoRedefine/>
    <w:rsid w:val="00CD6534"/>
    <w:pPr>
      <w:tabs>
        <w:tab w:val="center" w:pos="4320"/>
        <w:tab w:val="right" w:pos="8640"/>
      </w:tabs>
      <w:jc w:val="center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CD653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13D8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F0F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hefund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3B6B612AEAC4EBCC9C5CDEBF6C8A0" ma:contentTypeVersion="12" ma:contentTypeDescription="Create a new document." ma:contentTypeScope="" ma:versionID="33b7bc2ebdcf2f69c2649aa29cc930ee">
  <xsd:schema xmlns:xsd="http://www.w3.org/2001/XMLSchema" xmlns:xs="http://www.w3.org/2001/XMLSchema" xmlns:p="http://schemas.microsoft.com/office/2006/metadata/properties" xmlns:ns2="ac4c7929-0e37-4100-8ff5-d2864b1ed08d" xmlns:ns3="34cd5c93-a932-4438-b590-b8fddeba7533" targetNamespace="http://schemas.microsoft.com/office/2006/metadata/properties" ma:root="true" ma:fieldsID="4063fcda1f44452646ce3b7b291122cc" ns2:_="" ns3:_="">
    <xsd:import namespace="ac4c7929-0e37-4100-8ff5-d2864b1ed08d"/>
    <xsd:import namespace="34cd5c93-a932-4438-b590-b8fddeba7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c7929-0e37-4100-8ff5-d2864b1ed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d5c93-a932-4438-b590-b8fddeba7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615D4-8598-4B02-95EB-9F70DA35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c7929-0e37-4100-8ff5-d2864b1ed08d"/>
    <ds:schemaRef ds:uri="34cd5c93-a932-4438-b590-b8fddeba7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A75F7-68C8-4A8D-B8D0-D94ABF40C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AE083-3BFF-4CF6-B9B3-680BCBD63D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Kimble</dc:creator>
  <cp:keywords/>
  <dc:description/>
  <cp:lastModifiedBy>Matherne, Angela</cp:lastModifiedBy>
  <cp:revision>2</cp:revision>
  <dcterms:created xsi:type="dcterms:W3CDTF">2021-03-11T19:31:00Z</dcterms:created>
  <dcterms:modified xsi:type="dcterms:W3CDTF">2021-03-11T19:31:00Z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0x010100BF43B6B612AEAC4EBCC9C5CDEBF6C8A0</vt:lpwstr>
  </property>
</Properties>
</file>